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14D" w:rsidRPr="00FD5020" w:rsidRDefault="0062022A" w:rsidP="0062022A">
      <w:pPr>
        <w:spacing w:after="120" w:line="240" w:lineRule="auto"/>
        <w:jc w:val="both"/>
        <w:rPr>
          <w:rFonts w:ascii="Century Gothic" w:hAnsi="Century Gothic"/>
          <w:b/>
          <w:sz w:val="24"/>
        </w:rPr>
      </w:pPr>
      <w:bookmarkStart w:id="0" w:name="_GoBack"/>
      <w:bookmarkEnd w:id="0"/>
      <w:r>
        <w:rPr>
          <w:rFonts w:ascii="Century Gothic" w:hAnsi="Century Gothic"/>
          <w:b/>
          <w:sz w:val="24"/>
        </w:rPr>
        <w:t xml:space="preserve">Social Media Content for </w:t>
      </w:r>
      <w:r w:rsidR="00FD5020" w:rsidRPr="00FD5020">
        <w:rPr>
          <w:rFonts w:ascii="Century Gothic" w:hAnsi="Century Gothic"/>
          <w:b/>
          <w:sz w:val="24"/>
        </w:rPr>
        <w:t xml:space="preserve">Kids </w:t>
      </w:r>
    </w:p>
    <w:p w:rsidR="00E21025" w:rsidRPr="00FD5020" w:rsidRDefault="00E21025" w:rsidP="0062022A">
      <w:pPr>
        <w:spacing w:after="120" w:line="240" w:lineRule="auto"/>
        <w:jc w:val="both"/>
        <w:rPr>
          <w:rFonts w:ascii="Century Gothic" w:hAnsi="Century Gothic"/>
        </w:rPr>
      </w:pPr>
      <w:r w:rsidRPr="00FD5020">
        <w:rPr>
          <w:rFonts w:ascii="Century Gothic" w:hAnsi="Century Gothic"/>
        </w:rPr>
        <w:t xml:space="preserve">Kids’ eyes are more vulnerable than adults’ eyes because they are not fully developed. </w:t>
      </w:r>
      <w:r w:rsidR="004073B6">
        <w:rPr>
          <w:rFonts w:ascii="Century Gothic" w:hAnsi="Century Gothic"/>
        </w:rPr>
        <w:t>Help protect your kids’ eyes from UV and harmful blue light with Transitions</w:t>
      </w:r>
      <w:r w:rsidR="008A502D">
        <w:rPr>
          <w:rFonts w:ascii="Calibri" w:hAnsi="Calibri"/>
        </w:rPr>
        <w:t>®</w:t>
      </w:r>
      <w:r w:rsidR="004073B6">
        <w:rPr>
          <w:rFonts w:ascii="Century Gothic" w:hAnsi="Century Gothic"/>
        </w:rPr>
        <w:t xml:space="preserve"> lenses.</w:t>
      </w:r>
    </w:p>
    <w:p w:rsidR="00E21025" w:rsidRPr="00FD5020" w:rsidRDefault="0062022A" w:rsidP="0062022A">
      <w:pPr>
        <w:spacing w:after="120" w:line="240" w:lineRule="auto"/>
        <w:jc w:val="both"/>
        <w:rPr>
          <w:rFonts w:ascii="Century Gothic" w:hAnsi="Century Gothic"/>
        </w:rPr>
      </w:pPr>
      <w:r w:rsidRPr="00FD5020">
        <w:rPr>
          <w:rFonts w:ascii="Century Gothic" w:hAnsi="Century Gothic"/>
          <w:noProof/>
        </w:rPr>
        <w:drawing>
          <wp:inline distT="0" distB="0" distL="0" distR="0" wp14:anchorId="54EC0ADD" wp14:editId="7E69B0AD">
            <wp:extent cx="2865755" cy="1472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5755" cy="1472565"/>
                    </a:xfrm>
                    <a:prstGeom prst="rect">
                      <a:avLst/>
                    </a:prstGeom>
                  </pic:spPr>
                </pic:pic>
              </a:graphicData>
            </a:graphic>
          </wp:inline>
        </w:drawing>
      </w:r>
    </w:p>
    <w:p w:rsidR="00196736" w:rsidRDefault="00196736" w:rsidP="0062022A">
      <w:pPr>
        <w:spacing w:after="120" w:line="240" w:lineRule="auto"/>
        <w:jc w:val="both"/>
        <w:rPr>
          <w:rFonts w:ascii="Century Gothic" w:hAnsi="Century Gothic"/>
        </w:rPr>
      </w:pPr>
    </w:p>
    <w:p w:rsidR="00E21025" w:rsidRPr="00FD5020" w:rsidRDefault="00196736" w:rsidP="0062022A">
      <w:pPr>
        <w:spacing w:after="120" w:line="240" w:lineRule="auto"/>
        <w:jc w:val="both"/>
        <w:rPr>
          <w:rFonts w:ascii="Century Gothic" w:hAnsi="Century Gothic"/>
        </w:rPr>
      </w:pPr>
      <w:r>
        <w:rPr>
          <w:rFonts w:ascii="Century Gothic" w:hAnsi="Century Gothic"/>
        </w:rPr>
        <w:t xml:space="preserve">Three in four kids spend 2+ hours in front of a digital device. </w:t>
      </w:r>
      <w:r w:rsidR="00235AA5">
        <w:rPr>
          <w:rFonts w:ascii="Century Gothic" w:hAnsi="Century Gothic"/>
        </w:rPr>
        <w:t xml:space="preserve">Try </w:t>
      </w:r>
      <w:r w:rsidR="00FD5020" w:rsidRPr="00FD5020">
        <w:rPr>
          <w:rFonts w:ascii="Century Gothic" w:hAnsi="Century Gothic"/>
        </w:rPr>
        <w:t>Transitions</w:t>
      </w:r>
      <w:r w:rsidR="008A502D">
        <w:rPr>
          <w:rFonts w:ascii="Calibri" w:hAnsi="Calibri"/>
        </w:rPr>
        <w:t>®</w:t>
      </w:r>
      <w:r w:rsidR="00FD5020" w:rsidRPr="00FD5020">
        <w:rPr>
          <w:rFonts w:ascii="Century Gothic" w:hAnsi="Century Gothic"/>
        </w:rPr>
        <w:t xml:space="preserve"> lenses</w:t>
      </w:r>
      <w:r w:rsidR="00235AA5">
        <w:rPr>
          <w:rFonts w:ascii="Century Gothic" w:hAnsi="Century Gothic"/>
        </w:rPr>
        <w:t xml:space="preserve"> to</w:t>
      </w:r>
      <w:r w:rsidR="00FD5020" w:rsidRPr="00FD5020">
        <w:rPr>
          <w:rFonts w:ascii="Century Gothic" w:hAnsi="Century Gothic"/>
        </w:rPr>
        <w:t xml:space="preserve"> help protect your </w:t>
      </w:r>
      <w:r>
        <w:rPr>
          <w:rFonts w:ascii="Century Gothic" w:hAnsi="Century Gothic"/>
        </w:rPr>
        <w:t>kids’</w:t>
      </w:r>
      <w:r w:rsidR="00FD5020" w:rsidRPr="00FD5020">
        <w:rPr>
          <w:rFonts w:ascii="Century Gothic" w:hAnsi="Century Gothic"/>
        </w:rPr>
        <w:t xml:space="preserve"> eyes from the sun, the s</w:t>
      </w:r>
      <w:r>
        <w:rPr>
          <w:rFonts w:ascii="Century Gothic" w:hAnsi="Century Gothic"/>
        </w:rPr>
        <w:t>creen and everything in between.</w:t>
      </w:r>
    </w:p>
    <w:p w:rsidR="00FD5020" w:rsidRDefault="00196736" w:rsidP="0062022A">
      <w:pPr>
        <w:spacing w:after="120" w:line="240" w:lineRule="auto"/>
        <w:jc w:val="both"/>
        <w:rPr>
          <w:rFonts w:ascii="Century Gothic" w:hAnsi="Century Gothic"/>
        </w:rPr>
      </w:pPr>
      <w:r w:rsidRPr="00FD5020">
        <w:rPr>
          <w:rFonts w:ascii="Century Gothic" w:hAnsi="Century Gothic"/>
          <w:noProof/>
        </w:rPr>
        <w:drawing>
          <wp:inline distT="0" distB="0" distL="0" distR="0" wp14:anchorId="77981FAB" wp14:editId="2203DB3C">
            <wp:extent cx="1936750" cy="189674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6750" cy="1896745"/>
                    </a:xfrm>
                    <a:prstGeom prst="rect">
                      <a:avLst/>
                    </a:prstGeom>
                  </pic:spPr>
                </pic:pic>
              </a:graphicData>
            </a:graphic>
          </wp:inline>
        </w:drawing>
      </w:r>
    </w:p>
    <w:p w:rsidR="0062022A" w:rsidRDefault="0062022A" w:rsidP="0062022A">
      <w:pPr>
        <w:spacing w:after="120" w:line="240" w:lineRule="auto"/>
        <w:jc w:val="both"/>
        <w:rPr>
          <w:rFonts w:ascii="Century Gothic" w:hAnsi="Century Gothic"/>
        </w:rPr>
      </w:pPr>
    </w:p>
    <w:p w:rsidR="0062022A" w:rsidRDefault="00196736" w:rsidP="0062022A">
      <w:pPr>
        <w:spacing w:after="120" w:line="240" w:lineRule="auto"/>
        <w:jc w:val="both"/>
        <w:rPr>
          <w:rFonts w:ascii="Century Gothic" w:hAnsi="Century Gothic"/>
          <w:noProof/>
        </w:rPr>
      </w:pPr>
      <w:r>
        <w:rPr>
          <w:rFonts w:ascii="Century Gothic" w:hAnsi="Century Gothic"/>
        </w:rPr>
        <w:t>Not only do Transitions</w:t>
      </w:r>
      <w:r w:rsidR="008A502D">
        <w:rPr>
          <w:rFonts w:ascii="Calibri" w:hAnsi="Calibri"/>
        </w:rPr>
        <w:t>®</w:t>
      </w:r>
      <w:r>
        <w:rPr>
          <w:rFonts w:ascii="Century Gothic" w:hAnsi="Century Gothic"/>
        </w:rPr>
        <w:t xml:space="preserve"> lenses protect against UV and harmful blue light while remaining clear indoors - kids prefer them to clear lenses 9 times out of 10. Give your kids the protection they need with the lenses they love.</w:t>
      </w:r>
      <w:r w:rsidR="0062022A" w:rsidRPr="0062022A">
        <w:rPr>
          <w:rFonts w:ascii="Century Gothic" w:hAnsi="Century Gothic"/>
          <w:noProof/>
        </w:rPr>
        <w:t xml:space="preserve"> </w:t>
      </w:r>
    </w:p>
    <w:p w:rsidR="00FD5020" w:rsidRDefault="0062022A" w:rsidP="0062022A">
      <w:pPr>
        <w:spacing w:after="120" w:line="240" w:lineRule="auto"/>
        <w:jc w:val="both"/>
        <w:rPr>
          <w:rFonts w:ascii="Century Gothic" w:hAnsi="Century Gothic"/>
        </w:rPr>
      </w:pPr>
      <w:r w:rsidRPr="00FD5020">
        <w:rPr>
          <w:rFonts w:ascii="Century Gothic" w:hAnsi="Century Gothic"/>
          <w:noProof/>
        </w:rPr>
        <w:drawing>
          <wp:inline distT="0" distB="0" distL="0" distR="0" wp14:anchorId="648841E6" wp14:editId="5A54FFC7">
            <wp:extent cx="2026285" cy="200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ds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6285" cy="2001520"/>
                    </a:xfrm>
                    <a:prstGeom prst="rect">
                      <a:avLst/>
                    </a:prstGeom>
                  </pic:spPr>
                </pic:pic>
              </a:graphicData>
            </a:graphic>
          </wp:inline>
        </w:drawing>
      </w:r>
    </w:p>
    <w:p w:rsidR="0062022A" w:rsidRDefault="0062022A" w:rsidP="0062022A">
      <w:pPr>
        <w:spacing w:after="120" w:line="240" w:lineRule="auto"/>
        <w:jc w:val="both"/>
        <w:rPr>
          <w:rFonts w:ascii="Century Gothic" w:hAnsi="Century Gothic"/>
        </w:rPr>
      </w:pPr>
    </w:p>
    <w:p w:rsidR="004436CD" w:rsidRDefault="004436CD" w:rsidP="004436CD">
      <w:pPr>
        <w:spacing w:after="120" w:line="240" w:lineRule="auto"/>
        <w:jc w:val="both"/>
        <w:rPr>
          <w:rFonts w:ascii="Century Gothic" w:hAnsi="Century Gothic"/>
        </w:rPr>
      </w:pPr>
      <w:r w:rsidRPr="0062022A">
        <w:rPr>
          <w:rFonts w:ascii="Century Gothic" w:hAnsi="Century Gothic"/>
        </w:rPr>
        <w:lastRenderedPageBreak/>
        <w:t xml:space="preserve">80% of learning in the first 12 years of a child is with their eyes. This alone tells us how critical vision is. </w:t>
      </w:r>
      <w:r>
        <w:rPr>
          <w:rFonts w:ascii="Century Gothic" w:hAnsi="Century Gothic"/>
        </w:rPr>
        <w:t>(Source Vision Council)</w:t>
      </w:r>
    </w:p>
    <w:p w:rsidR="004436CD" w:rsidRDefault="004436CD" w:rsidP="004436CD">
      <w:pPr>
        <w:spacing w:after="120" w:line="240" w:lineRule="auto"/>
        <w:jc w:val="both"/>
        <w:rPr>
          <w:rFonts w:ascii="Century Gothic" w:hAnsi="Century Gothic"/>
        </w:rPr>
      </w:pPr>
      <w:r>
        <w:rPr>
          <w:rFonts w:ascii="Century Gothic" w:hAnsi="Century Gothic"/>
          <w:noProof/>
        </w:rPr>
        <w:drawing>
          <wp:inline distT="0" distB="0" distL="0" distR="0" wp14:anchorId="09E54C5D" wp14:editId="3CAF41CF">
            <wp:extent cx="2618891" cy="2400300"/>
            <wp:effectExtent l="0" t="0" r="0" b="0"/>
            <wp:docPr id="5" name="Picture 5" descr="Z:\Havas-PR\Pittsburgh Share\SHARE\CLIENTS\Transitions Optical\Education\Courses\2017 Kids\Social Media\Kid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vas-PR\Pittsburgh Share\SHARE\CLIENTS\Transitions Optical\Education\Courses\2017 Kids\Social Media\Kids_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997" cy="2403147"/>
                    </a:xfrm>
                    <a:prstGeom prst="rect">
                      <a:avLst/>
                    </a:prstGeom>
                    <a:noFill/>
                    <a:ln>
                      <a:noFill/>
                    </a:ln>
                  </pic:spPr>
                </pic:pic>
              </a:graphicData>
            </a:graphic>
          </wp:inline>
        </w:drawing>
      </w:r>
    </w:p>
    <w:p w:rsidR="004436CD" w:rsidRDefault="004436CD" w:rsidP="004436CD">
      <w:pPr>
        <w:spacing w:after="120" w:line="240" w:lineRule="auto"/>
        <w:jc w:val="both"/>
        <w:rPr>
          <w:rFonts w:ascii="Century Gothic" w:hAnsi="Century Gothic"/>
        </w:rPr>
      </w:pPr>
    </w:p>
    <w:p w:rsidR="009319BB" w:rsidRDefault="009319BB" w:rsidP="004436CD">
      <w:pPr>
        <w:spacing w:after="120" w:line="240" w:lineRule="auto"/>
        <w:jc w:val="both"/>
        <w:rPr>
          <w:rFonts w:ascii="Century Gothic" w:hAnsi="Century Gothic"/>
        </w:rPr>
      </w:pPr>
      <w:r w:rsidRPr="009319BB">
        <w:rPr>
          <w:rFonts w:ascii="Century Gothic" w:hAnsi="Century Gothic"/>
        </w:rPr>
        <w:t>6 out of 10 children</w:t>
      </w:r>
      <w:r>
        <w:rPr>
          <w:rFonts w:ascii="Century Gothic" w:hAnsi="Century Gothic"/>
        </w:rPr>
        <w:t xml:space="preserve"> in Canada</w:t>
      </w:r>
      <w:r w:rsidRPr="009319BB">
        <w:rPr>
          <w:rFonts w:ascii="Century Gothic" w:hAnsi="Century Gothic"/>
        </w:rPr>
        <w:t xml:space="preserve"> experiencing reading difficulties have uncorrected or undetected vision problems.</w:t>
      </w:r>
      <w:r>
        <w:rPr>
          <w:rFonts w:ascii="Century Gothic" w:hAnsi="Century Gothic"/>
        </w:rPr>
        <w:t xml:space="preserve"> (Source </w:t>
      </w:r>
      <w:r w:rsidRPr="009319BB">
        <w:rPr>
          <w:rFonts w:ascii="Century Gothic" w:hAnsi="Century Gothic"/>
        </w:rPr>
        <w:t>National Coalition for Vision Health</w:t>
      </w:r>
      <w:r>
        <w:rPr>
          <w:rFonts w:ascii="Century Gothic" w:hAnsi="Century Gothic"/>
        </w:rPr>
        <w:t>)</w:t>
      </w:r>
    </w:p>
    <w:p w:rsidR="004436CD" w:rsidRPr="0062022A" w:rsidRDefault="004436CD" w:rsidP="004436CD">
      <w:pPr>
        <w:spacing w:after="120" w:line="240" w:lineRule="auto"/>
        <w:jc w:val="both"/>
        <w:rPr>
          <w:rFonts w:ascii="Century Gothic" w:hAnsi="Century Gothic"/>
        </w:rPr>
      </w:pPr>
    </w:p>
    <w:p w:rsidR="004436CD" w:rsidRPr="0062022A" w:rsidRDefault="00BA4CCE" w:rsidP="004436CD">
      <w:pPr>
        <w:spacing w:after="120" w:line="240" w:lineRule="auto"/>
        <w:jc w:val="both"/>
        <w:rPr>
          <w:rFonts w:ascii="Century Gothic" w:hAnsi="Century Gothic"/>
        </w:rPr>
      </w:pPr>
      <w:r>
        <w:rPr>
          <w:rFonts w:ascii="Century Gothic" w:hAnsi="Century Gothic"/>
        </w:rPr>
        <w:t>Fewer than 14% of children in Canada under the age of 6 have had a comprehensive eye exam</w:t>
      </w:r>
      <w:r w:rsidR="004436CD" w:rsidRPr="0062022A">
        <w:rPr>
          <w:rFonts w:ascii="Century Gothic" w:hAnsi="Century Gothic"/>
        </w:rPr>
        <w:t>.</w:t>
      </w:r>
      <w:r w:rsidR="004436CD">
        <w:rPr>
          <w:rFonts w:ascii="Century Gothic" w:hAnsi="Century Gothic"/>
        </w:rPr>
        <w:t xml:space="preserve"> (</w:t>
      </w:r>
      <w:r>
        <w:rPr>
          <w:rFonts w:ascii="Century Gothic" w:hAnsi="Century Gothic"/>
        </w:rPr>
        <w:t xml:space="preserve">Source </w:t>
      </w:r>
      <w:r w:rsidRPr="009319BB">
        <w:rPr>
          <w:rFonts w:ascii="Century Gothic" w:hAnsi="Century Gothic"/>
        </w:rPr>
        <w:t>National Coalition for Vision Health</w:t>
      </w:r>
      <w:r w:rsidR="004436CD">
        <w:rPr>
          <w:rFonts w:ascii="Century Gothic" w:hAnsi="Century Gothic"/>
        </w:rPr>
        <w:t xml:space="preserve">) Vision is critical for learning and development. Make sure the kids you know have had an exam. </w:t>
      </w:r>
    </w:p>
    <w:p w:rsidR="004436CD" w:rsidRDefault="004436CD" w:rsidP="0062022A">
      <w:pPr>
        <w:spacing w:after="120" w:line="240" w:lineRule="auto"/>
        <w:jc w:val="both"/>
        <w:rPr>
          <w:rFonts w:ascii="Century Gothic" w:hAnsi="Century Gothic"/>
        </w:rPr>
      </w:pPr>
    </w:p>
    <w:p w:rsidR="0062022A" w:rsidRPr="0062022A" w:rsidRDefault="0062022A" w:rsidP="0062022A">
      <w:pPr>
        <w:spacing w:after="120" w:line="240" w:lineRule="auto"/>
        <w:jc w:val="both"/>
        <w:rPr>
          <w:rFonts w:ascii="Century Gothic" w:hAnsi="Century Gothic"/>
        </w:rPr>
      </w:pPr>
      <w:r w:rsidRPr="0062022A">
        <w:rPr>
          <w:rFonts w:ascii="Century Gothic" w:hAnsi="Century Gothic"/>
        </w:rPr>
        <w:t xml:space="preserve">Kids don’t always know they are experiencing a vision problem. </w:t>
      </w:r>
      <w:r>
        <w:rPr>
          <w:rFonts w:ascii="Century Gothic" w:hAnsi="Century Gothic"/>
        </w:rPr>
        <w:t>Create a series of posts on the symptoms to watch for:</w:t>
      </w:r>
    </w:p>
    <w:p w:rsidR="005C54C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 xml:space="preserve">While it is myth that sitting too close to the TV will ruin your eyes, this habit could be a sign of a vision problem. </w:t>
      </w:r>
    </w:p>
    <w:p w:rsidR="005C54C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 xml:space="preserve">Yes, children do often rub their eyes when they are tired or upset. But if </w:t>
      </w:r>
      <w:r w:rsidR="0062022A">
        <w:rPr>
          <w:rFonts w:ascii="Century Gothic" w:hAnsi="Century Gothic"/>
        </w:rPr>
        <w:t>your</w:t>
      </w:r>
      <w:r w:rsidRPr="0062022A">
        <w:rPr>
          <w:rFonts w:ascii="Century Gothic" w:hAnsi="Century Gothic"/>
        </w:rPr>
        <w:t xml:space="preserve"> child </w:t>
      </w:r>
      <w:r w:rsidR="0062022A">
        <w:rPr>
          <w:rFonts w:ascii="Century Gothic" w:hAnsi="Century Gothic"/>
        </w:rPr>
        <w:t>is rubbing their</w:t>
      </w:r>
      <w:r w:rsidRPr="0062022A">
        <w:rPr>
          <w:rFonts w:ascii="Century Gothic" w:hAnsi="Century Gothic"/>
        </w:rPr>
        <w:t xml:space="preserve"> eyes while trying to concentrate on something, or while being active, it could mean that </w:t>
      </w:r>
      <w:r w:rsidR="0062022A">
        <w:rPr>
          <w:rFonts w:ascii="Century Gothic" w:hAnsi="Century Gothic"/>
        </w:rPr>
        <w:t>they</w:t>
      </w:r>
      <w:r w:rsidRPr="0062022A">
        <w:rPr>
          <w:rFonts w:ascii="Century Gothic" w:hAnsi="Century Gothic"/>
        </w:rPr>
        <w:t xml:space="preserve"> a vision problem.</w:t>
      </w:r>
    </w:p>
    <w:p w:rsidR="005C54C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When kids learn to read, they’ll often use their finger to track which word they are on. But eventually they should be able to focus and not lose their place. Losing place while reading or using a finger to guide eyes when reading</w:t>
      </w:r>
      <w:r w:rsidR="0062022A">
        <w:rPr>
          <w:rFonts w:ascii="Century Gothic" w:hAnsi="Century Gothic"/>
        </w:rPr>
        <w:t xml:space="preserve"> could be a sign of a vision problem. </w:t>
      </w:r>
    </w:p>
    <w:p w:rsidR="005C54C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 xml:space="preserve">Children with photophobia, or extreme sensitivity to light, can develop headaches and nausea. </w:t>
      </w:r>
      <w:r w:rsidR="0062022A">
        <w:rPr>
          <w:rFonts w:ascii="Century Gothic" w:hAnsi="Century Gothic"/>
        </w:rPr>
        <w:t>The right lenses can help. Ask about Transitions</w:t>
      </w:r>
      <w:r w:rsidR="007218D6">
        <w:rPr>
          <w:rFonts w:ascii="Calibri" w:hAnsi="Calibri"/>
        </w:rPr>
        <w:t>®</w:t>
      </w:r>
      <w:r w:rsidR="0062022A">
        <w:rPr>
          <w:rFonts w:ascii="Century Gothic" w:hAnsi="Century Gothic"/>
        </w:rPr>
        <w:t xml:space="preserve"> lenses for your kids. </w:t>
      </w:r>
    </w:p>
    <w:p w:rsid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 xml:space="preserve">Frequently closing one eye could indicate a refractive or binocular vision problem that interferes with the ability of the two eyes to work together as a team. </w:t>
      </w:r>
      <w:r w:rsidR="0062022A">
        <w:rPr>
          <w:rFonts w:ascii="Century Gothic" w:hAnsi="Century Gothic"/>
        </w:rPr>
        <w:t>If you notice this habit make sure the child gets an eye exam.</w:t>
      </w:r>
    </w:p>
    <w:p w:rsidR="005C54C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lastRenderedPageBreak/>
        <w:t>If a child is having a hard time seeing what their teacher writes on the board because of poor vision, they may not tell you about it. As a result their grades can suffer.</w:t>
      </w:r>
    </w:p>
    <w:p w:rsidR="0062022A" w:rsidRPr="0062022A" w:rsidRDefault="004436CD"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Digital eye strain is common among children who are frequent users of computers or other digital devices.</w:t>
      </w:r>
      <w:r w:rsidR="0062022A">
        <w:rPr>
          <w:rFonts w:ascii="Century Gothic" w:hAnsi="Century Gothic"/>
        </w:rPr>
        <w:t xml:space="preserve"> The right lenses can help.</w:t>
      </w:r>
    </w:p>
    <w:p w:rsidR="0062022A" w:rsidRPr="0062022A" w:rsidRDefault="0062022A" w:rsidP="0062022A">
      <w:pPr>
        <w:pStyle w:val="ListParagraph"/>
        <w:numPr>
          <w:ilvl w:val="0"/>
          <w:numId w:val="2"/>
        </w:numPr>
        <w:spacing w:after="120" w:line="240" w:lineRule="auto"/>
        <w:contextualSpacing w:val="0"/>
        <w:rPr>
          <w:rFonts w:ascii="Century Gothic" w:hAnsi="Century Gothic"/>
        </w:rPr>
      </w:pPr>
      <w:r w:rsidRPr="0062022A">
        <w:rPr>
          <w:rFonts w:ascii="Century Gothic" w:hAnsi="Century Gothic"/>
        </w:rPr>
        <w:t xml:space="preserve">Teachers - be on the lookout for students who have to squint or tilt their heads to see the board. </w:t>
      </w:r>
      <w:r>
        <w:rPr>
          <w:rFonts w:ascii="Century Gothic" w:hAnsi="Century Gothic"/>
        </w:rPr>
        <w:t>If you notice this habit make sure the child gets an eye exam.</w:t>
      </w:r>
    </w:p>
    <w:p w:rsidR="004436CD" w:rsidRDefault="004436CD" w:rsidP="0062022A">
      <w:pPr>
        <w:spacing w:after="120" w:line="240" w:lineRule="auto"/>
        <w:jc w:val="both"/>
        <w:rPr>
          <w:rFonts w:ascii="Century Gothic" w:hAnsi="Century Gothic"/>
        </w:rPr>
      </w:pPr>
    </w:p>
    <w:p w:rsidR="0062022A" w:rsidRPr="00FD5020" w:rsidRDefault="0062022A" w:rsidP="0062022A">
      <w:pPr>
        <w:spacing w:after="120" w:line="240" w:lineRule="auto"/>
        <w:jc w:val="both"/>
        <w:rPr>
          <w:rFonts w:ascii="Century Gothic" w:hAnsi="Century Gothic"/>
        </w:rPr>
      </w:pPr>
    </w:p>
    <w:sectPr w:rsidR="0062022A" w:rsidRPr="00FD5020" w:rsidSect="00934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F13DD"/>
    <w:multiLevelType w:val="hybridMultilevel"/>
    <w:tmpl w:val="55A069B6"/>
    <w:lvl w:ilvl="0" w:tplc="EE26C818">
      <w:start w:val="3"/>
      <w:numFmt w:val="decimal"/>
      <w:lvlText w:val="%1."/>
      <w:lvlJc w:val="left"/>
      <w:pPr>
        <w:tabs>
          <w:tab w:val="num" w:pos="720"/>
        </w:tabs>
        <w:ind w:left="720" w:hanging="360"/>
      </w:pPr>
    </w:lvl>
    <w:lvl w:ilvl="1" w:tplc="F16C3F2A" w:tentative="1">
      <w:start w:val="1"/>
      <w:numFmt w:val="decimal"/>
      <w:lvlText w:val="%2."/>
      <w:lvlJc w:val="left"/>
      <w:pPr>
        <w:tabs>
          <w:tab w:val="num" w:pos="1440"/>
        </w:tabs>
        <w:ind w:left="1440" w:hanging="360"/>
      </w:pPr>
    </w:lvl>
    <w:lvl w:ilvl="2" w:tplc="A4CCC3CC" w:tentative="1">
      <w:start w:val="1"/>
      <w:numFmt w:val="decimal"/>
      <w:lvlText w:val="%3."/>
      <w:lvlJc w:val="left"/>
      <w:pPr>
        <w:tabs>
          <w:tab w:val="num" w:pos="2160"/>
        </w:tabs>
        <w:ind w:left="2160" w:hanging="360"/>
      </w:pPr>
    </w:lvl>
    <w:lvl w:ilvl="3" w:tplc="EDB4A866" w:tentative="1">
      <w:start w:val="1"/>
      <w:numFmt w:val="decimal"/>
      <w:lvlText w:val="%4."/>
      <w:lvlJc w:val="left"/>
      <w:pPr>
        <w:tabs>
          <w:tab w:val="num" w:pos="2880"/>
        </w:tabs>
        <w:ind w:left="2880" w:hanging="360"/>
      </w:pPr>
    </w:lvl>
    <w:lvl w:ilvl="4" w:tplc="CAB289CE" w:tentative="1">
      <w:start w:val="1"/>
      <w:numFmt w:val="decimal"/>
      <w:lvlText w:val="%5."/>
      <w:lvlJc w:val="left"/>
      <w:pPr>
        <w:tabs>
          <w:tab w:val="num" w:pos="3600"/>
        </w:tabs>
        <w:ind w:left="3600" w:hanging="360"/>
      </w:pPr>
    </w:lvl>
    <w:lvl w:ilvl="5" w:tplc="2CCE5DE2" w:tentative="1">
      <w:start w:val="1"/>
      <w:numFmt w:val="decimal"/>
      <w:lvlText w:val="%6."/>
      <w:lvlJc w:val="left"/>
      <w:pPr>
        <w:tabs>
          <w:tab w:val="num" w:pos="4320"/>
        </w:tabs>
        <w:ind w:left="4320" w:hanging="360"/>
      </w:pPr>
    </w:lvl>
    <w:lvl w:ilvl="6" w:tplc="3D10FEB8" w:tentative="1">
      <w:start w:val="1"/>
      <w:numFmt w:val="decimal"/>
      <w:lvlText w:val="%7."/>
      <w:lvlJc w:val="left"/>
      <w:pPr>
        <w:tabs>
          <w:tab w:val="num" w:pos="5040"/>
        </w:tabs>
        <w:ind w:left="5040" w:hanging="360"/>
      </w:pPr>
    </w:lvl>
    <w:lvl w:ilvl="7" w:tplc="6354E626" w:tentative="1">
      <w:start w:val="1"/>
      <w:numFmt w:val="decimal"/>
      <w:lvlText w:val="%8."/>
      <w:lvlJc w:val="left"/>
      <w:pPr>
        <w:tabs>
          <w:tab w:val="num" w:pos="5760"/>
        </w:tabs>
        <w:ind w:left="5760" w:hanging="360"/>
      </w:pPr>
    </w:lvl>
    <w:lvl w:ilvl="8" w:tplc="04AA4A60" w:tentative="1">
      <w:start w:val="1"/>
      <w:numFmt w:val="decimal"/>
      <w:lvlText w:val="%9."/>
      <w:lvlJc w:val="left"/>
      <w:pPr>
        <w:tabs>
          <w:tab w:val="num" w:pos="6480"/>
        </w:tabs>
        <w:ind w:left="6480" w:hanging="360"/>
      </w:pPr>
    </w:lvl>
  </w:abstractNum>
  <w:abstractNum w:abstractNumId="1">
    <w:nsid w:val="1A920B59"/>
    <w:multiLevelType w:val="hybridMultilevel"/>
    <w:tmpl w:val="2A3230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BBD5BD8"/>
    <w:multiLevelType w:val="hybridMultilevel"/>
    <w:tmpl w:val="6C52DE66"/>
    <w:lvl w:ilvl="0" w:tplc="A634C12E">
      <w:start w:val="1"/>
      <w:numFmt w:val="decimal"/>
      <w:lvlText w:val="%1."/>
      <w:lvlJc w:val="left"/>
      <w:pPr>
        <w:tabs>
          <w:tab w:val="num" w:pos="720"/>
        </w:tabs>
        <w:ind w:left="720" w:hanging="360"/>
      </w:pPr>
    </w:lvl>
    <w:lvl w:ilvl="1" w:tplc="9238D8BA" w:tentative="1">
      <w:start w:val="1"/>
      <w:numFmt w:val="decimal"/>
      <w:lvlText w:val="%2."/>
      <w:lvlJc w:val="left"/>
      <w:pPr>
        <w:tabs>
          <w:tab w:val="num" w:pos="1440"/>
        </w:tabs>
        <w:ind w:left="1440" w:hanging="360"/>
      </w:pPr>
    </w:lvl>
    <w:lvl w:ilvl="2" w:tplc="E196D644" w:tentative="1">
      <w:start w:val="1"/>
      <w:numFmt w:val="decimal"/>
      <w:lvlText w:val="%3."/>
      <w:lvlJc w:val="left"/>
      <w:pPr>
        <w:tabs>
          <w:tab w:val="num" w:pos="2160"/>
        </w:tabs>
        <w:ind w:left="2160" w:hanging="360"/>
      </w:pPr>
    </w:lvl>
    <w:lvl w:ilvl="3" w:tplc="6F06AD48" w:tentative="1">
      <w:start w:val="1"/>
      <w:numFmt w:val="decimal"/>
      <w:lvlText w:val="%4."/>
      <w:lvlJc w:val="left"/>
      <w:pPr>
        <w:tabs>
          <w:tab w:val="num" w:pos="2880"/>
        </w:tabs>
        <w:ind w:left="2880" w:hanging="360"/>
      </w:pPr>
    </w:lvl>
    <w:lvl w:ilvl="4" w:tplc="4D508C4E" w:tentative="1">
      <w:start w:val="1"/>
      <w:numFmt w:val="decimal"/>
      <w:lvlText w:val="%5."/>
      <w:lvlJc w:val="left"/>
      <w:pPr>
        <w:tabs>
          <w:tab w:val="num" w:pos="3600"/>
        </w:tabs>
        <w:ind w:left="3600" w:hanging="360"/>
      </w:pPr>
    </w:lvl>
    <w:lvl w:ilvl="5" w:tplc="1BC84AD4" w:tentative="1">
      <w:start w:val="1"/>
      <w:numFmt w:val="decimal"/>
      <w:lvlText w:val="%6."/>
      <w:lvlJc w:val="left"/>
      <w:pPr>
        <w:tabs>
          <w:tab w:val="num" w:pos="4320"/>
        </w:tabs>
        <w:ind w:left="4320" w:hanging="360"/>
      </w:pPr>
    </w:lvl>
    <w:lvl w:ilvl="6" w:tplc="05226D9C" w:tentative="1">
      <w:start w:val="1"/>
      <w:numFmt w:val="decimal"/>
      <w:lvlText w:val="%7."/>
      <w:lvlJc w:val="left"/>
      <w:pPr>
        <w:tabs>
          <w:tab w:val="num" w:pos="5040"/>
        </w:tabs>
        <w:ind w:left="5040" w:hanging="360"/>
      </w:pPr>
    </w:lvl>
    <w:lvl w:ilvl="7" w:tplc="8A6CBE4C" w:tentative="1">
      <w:start w:val="1"/>
      <w:numFmt w:val="decimal"/>
      <w:lvlText w:val="%8."/>
      <w:lvlJc w:val="left"/>
      <w:pPr>
        <w:tabs>
          <w:tab w:val="num" w:pos="5760"/>
        </w:tabs>
        <w:ind w:left="5760" w:hanging="360"/>
      </w:pPr>
    </w:lvl>
    <w:lvl w:ilvl="8" w:tplc="08A2782C"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25"/>
    <w:rsid w:val="00196736"/>
    <w:rsid w:val="00235AA5"/>
    <w:rsid w:val="004073B6"/>
    <w:rsid w:val="00425D4D"/>
    <w:rsid w:val="004436CD"/>
    <w:rsid w:val="005C54CA"/>
    <w:rsid w:val="0062022A"/>
    <w:rsid w:val="007218D6"/>
    <w:rsid w:val="008A502D"/>
    <w:rsid w:val="008A7F1C"/>
    <w:rsid w:val="008B3ABF"/>
    <w:rsid w:val="009319BB"/>
    <w:rsid w:val="00934F0B"/>
    <w:rsid w:val="00BA4CCE"/>
    <w:rsid w:val="00C67933"/>
    <w:rsid w:val="00E21025"/>
    <w:rsid w:val="00FD5020"/>
    <w:rsid w:val="00FD7B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2A"/>
    <w:rPr>
      <w:rFonts w:ascii="Tahoma" w:hAnsi="Tahoma" w:cs="Tahoma"/>
      <w:sz w:val="16"/>
      <w:szCs w:val="16"/>
    </w:rPr>
  </w:style>
  <w:style w:type="paragraph" w:styleId="ListParagraph">
    <w:name w:val="List Paragraph"/>
    <w:basedOn w:val="Normal"/>
    <w:uiPriority w:val="34"/>
    <w:qFormat/>
    <w:rsid w:val="006202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2A"/>
    <w:rPr>
      <w:rFonts w:ascii="Tahoma" w:hAnsi="Tahoma" w:cs="Tahoma"/>
      <w:sz w:val="16"/>
      <w:szCs w:val="16"/>
    </w:rPr>
  </w:style>
  <w:style w:type="paragraph" w:styleId="ListParagraph">
    <w:name w:val="List Paragraph"/>
    <w:basedOn w:val="Normal"/>
    <w:uiPriority w:val="34"/>
    <w:qFormat/>
    <w:rsid w:val="00620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25289">
      <w:bodyDiv w:val="1"/>
      <w:marLeft w:val="0"/>
      <w:marRight w:val="0"/>
      <w:marTop w:val="0"/>
      <w:marBottom w:val="0"/>
      <w:divBdr>
        <w:top w:val="none" w:sz="0" w:space="0" w:color="auto"/>
        <w:left w:val="none" w:sz="0" w:space="0" w:color="auto"/>
        <w:bottom w:val="none" w:sz="0" w:space="0" w:color="auto"/>
        <w:right w:val="none" w:sz="0" w:space="0" w:color="auto"/>
      </w:divBdr>
      <w:divsChild>
        <w:div w:id="298075748">
          <w:marLeft w:val="360"/>
          <w:marRight w:val="0"/>
          <w:marTop w:val="0"/>
          <w:marBottom w:val="0"/>
          <w:divBdr>
            <w:top w:val="none" w:sz="0" w:space="0" w:color="auto"/>
            <w:left w:val="none" w:sz="0" w:space="0" w:color="auto"/>
            <w:bottom w:val="none" w:sz="0" w:space="0" w:color="auto"/>
            <w:right w:val="none" w:sz="0" w:space="0" w:color="auto"/>
          </w:divBdr>
        </w:div>
        <w:div w:id="857936948">
          <w:marLeft w:val="360"/>
          <w:marRight w:val="0"/>
          <w:marTop w:val="0"/>
          <w:marBottom w:val="0"/>
          <w:divBdr>
            <w:top w:val="none" w:sz="0" w:space="0" w:color="auto"/>
            <w:left w:val="none" w:sz="0" w:space="0" w:color="auto"/>
            <w:bottom w:val="none" w:sz="0" w:space="0" w:color="auto"/>
            <w:right w:val="none" w:sz="0" w:space="0" w:color="auto"/>
          </w:divBdr>
        </w:div>
        <w:div w:id="555511512">
          <w:marLeft w:val="360"/>
          <w:marRight w:val="0"/>
          <w:marTop w:val="0"/>
          <w:marBottom w:val="0"/>
          <w:divBdr>
            <w:top w:val="none" w:sz="0" w:space="0" w:color="auto"/>
            <w:left w:val="none" w:sz="0" w:space="0" w:color="auto"/>
            <w:bottom w:val="none" w:sz="0" w:space="0" w:color="auto"/>
            <w:right w:val="none" w:sz="0" w:space="0" w:color="auto"/>
          </w:divBdr>
        </w:div>
        <w:div w:id="1705715550">
          <w:marLeft w:val="360"/>
          <w:marRight w:val="0"/>
          <w:marTop w:val="0"/>
          <w:marBottom w:val="0"/>
          <w:divBdr>
            <w:top w:val="none" w:sz="0" w:space="0" w:color="auto"/>
            <w:left w:val="none" w:sz="0" w:space="0" w:color="auto"/>
            <w:bottom w:val="none" w:sz="0" w:space="0" w:color="auto"/>
            <w:right w:val="none" w:sz="0" w:space="0" w:color="auto"/>
          </w:divBdr>
        </w:div>
        <w:div w:id="329524005">
          <w:marLeft w:val="360"/>
          <w:marRight w:val="0"/>
          <w:marTop w:val="0"/>
          <w:marBottom w:val="0"/>
          <w:divBdr>
            <w:top w:val="none" w:sz="0" w:space="0" w:color="auto"/>
            <w:left w:val="none" w:sz="0" w:space="0" w:color="auto"/>
            <w:bottom w:val="none" w:sz="0" w:space="0" w:color="auto"/>
            <w:right w:val="none" w:sz="0" w:space="0" w:color="auto"/>
          </w:divBdr>
        </w:div>
        <w:div w:id="168251788">
          <w:marLeft w:val="360"/>
          <w:marRight w:val="0"/>
          <w:marTop w:val="0"/>
          <w:marBottom w:val="0"/>
          <w:divBdr>
            <w:top w:val="none" w:sz="0" w:space="0" w:color="auto"/>
            <w:left w:val="none" w:sz="0" w:space="0" w:color="auto"/>
            <w:bottom w:val="none" w:sz="0" w:space="0" w:color="auto"/>
            <w:right w:val="none" w:sz="0" w:space="0" w:color="auto"/>
          </w:divBdr>
        </w:div>
        <w:div w:id="937368085">
          <w:marLeft w:val="360"/>
          <w:marRight w:val="0"/>
          <w:marTop w:val="0"/>
          <w:marBottom w:val="0"/>
          <w:divBdr>
            <w:top w:val="none" w:sz="0" w:space="0" w:color="auto"/>
            <w:left w:val="none" w:sz="0" w:space="0" w:color="auto"/>
            <w:bottom w:val="none" w:sz="0" w:space="0" w:color="auto"/>
            <w:right w:val="none" w:sz="0" w:space="0" w:color="auto"/>
          </w:divBdr>
        </w:div>
      </w:divsChild>
    </w:div>
    <w:div w:id="879056436">
      <w:bodyDiv w:val="1"/>
      <w:marLeft w:val="0"/>
      <w:marRight w:val="0"/>
      <w:marTop w:val="0"/>
      <w:marBottom w:val="0"/>
      <w:divBdr>
        <w:top w:val="none" w:sz="0" w:space="0" w:color="auto"/>
        <w:left w:val="none" w:sz="0" w:space="0" w:color="auto"/>
        <w:bottom w:val="none" w:sz="0" w:space="0" w:color="auto"/>
        <w:right w:val="none" w:sz="0" w:space="0" w:color="auto"/>
      </w:divBdr>
      <w:divsChild>
        <w:div w:id="1852796196">
          <w:marLeft w:val="360"/>
          <w:marRight w:val="0"/>
          <w:marTop w:val="0"/>
          <w:marBottom w:val="0"/>
          <w:divBdr>
            <w:top w:val="none" w:sz="0" w:space="0" w:color="auto"/>
            <w:left w:val="none" w:sz="0" w:space="0" w:color="auto"/>
            <w:bottom w:val="none" w:sz="0" w:space="0" w:color="auto"/>
            <w:right w:val="none" w:sz="0" w:space="0" w:color="auto"/>
          </w:divBdr>
        </w:div>
      </w:divsChild>
    </w:div>
    <w:div w:id="1522236948">
      <w:bodyDiv w:val="1"/>
      <w:marLeft w:val="0"/>
      <w:marRight w:val="0"/>
      <w:marTop w:val="0"/>
      <w:marBottom w:val="0"/>
      <w:divBdr>
        <w:top w:val="none" w:sz="0" w:space="0" w:color="auto"/>
        <w:left w:val="none" w:sz="0" w:space="0" w:color="auto"/>
        <w:bottom w:val="none" w:sz="0" w:space="0" w:color="auto"/>
        <w:right w:val="none" w:sz="0" w:space="0" w:color="auto"/>
      </w:divBdr>
    </w:div>
    <w:div w:id="159011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Havas Health</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Ackermann</dc:creator>
  <cp:lastModifiedBy>Julianne Muszynski</cp:lastModifiedBy>
  <cp:revision>3</cp:revision>
  <dcterms:created xsi:type="dcterms:W3CDTF">2017-06-28T13:51:00Z</dcterms:created>
  <dcterms:modified xsi:type="dcterms:W3CDTF">2017-06-28T13:51:00Z</dcterms:modified>
</cp:coreProperties>
</file>